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6464D" w14:textId="77777777" w:rsidR="00AB0790" w:rsidRDefault="00AB0790" w:rsidP="00AB0790">
      <w:pPr>
        <w:pStyle w:val="Heading3"/>
      </w:pPr>
      <w:bookmarkStart w:id="0" w:name="X00478146aa1f7d56f8c7d78aac51431eaf4e0cd"/>
      <w:r>
        <w:t xml:space="preserve">SUPPLIER C: </w:t>
      </w:r>
      <w:proofErr w:type="spellStart"/>
      <w:r>
        <w:t>PrimeAPI</w:t>
      </w:r>
      <w:proofErr w:type="spellEnd"/>
      <w:r>
        <w:t xml:space="preserve"> Industries Private Limited (Ahmedabad, India)</w:t>
      </w:r>
    </w:p>
    <w:p w14:paraId="7DA3E5AA" w14:textId="77777777" w:rsidR="00AB0790" w:rsidRDefault="00AB0790" w:rsidP="00AB0790">
      <w:pPr>
        <w:pStyle w:val="FirstParagraph"/>
      </w:pPr>
      <w:r>
        <w:rPr>
          <w:b/>
          <w:bCs/>
        </w:rPr>
        <w:t>Company Overview:</w:t>
      </w:r>
      <w:r>
        <w:t xml:space="preserve"> - Founded: 2018 (8 years in operation) - Employees: ~350 across 1 manufacturing site + R&amp;D lab - Annual Revenue: ~US$35 million (FY2025) - Ownership: Founder (40%), Private Equity — </w:t>
      </w:r>
      <w:proofErr w:type="spellStart"/>
      <w:r>
        <w:t>GreenField</w:t>
      </w:r>
      <w:proofErr w:type="spellEnd"/>
      <w:r>
        <w:t xml:space="preserve"> Ventures (45%), Angel investors (15%) - Headquarters: Ahmedabad, Gujarat, India - Manufacturing Site: Sanand GIDC, Ahmedabad (API intermediates &amp; custom synthesis)</w:t>
      </w:r>
    </w:p>
    <w:p w14:paraId="710DDDE4" w14:textId="77777777" w:rsidR="00FA7967" w:rsidRDefault="00AB0790" w:rsidP="00AB0790">
      <w:pPr>
        <w:pStyle w:val="BodyText"/>
      </w:pPr>
      <w:r>
        <w:rPr>
          <w:b/>
          <w:bCs/>
        </w:rPr>
        <w:t>Relevant Capabilities:</w:t>
      </w:r>
      <w:r>
        <w:t xml:space="preserve"> - Founded by 3 ex-scientists from a leading Indian CDMO, with deep expertise in fluorination chemistry - 2 commercial fluorinated intermediates currently supplied to US market - Strong fluorination block with both HF and DAST capabilities — flexible process options - Modern facility (built 2019) with state-of-the-art equipment; designed for GMP from inception - Agile and fast-moving — can mobilize quickly on new projects - R&amp;D team of 35 scientists; high expertise but lean team - </w:t>
      </w:r>
      <w:r w:rsidR="00FA7967">
        <w:t>Emerging Pharma Company of the Year" award at the India Pharma Innovation Awards 2024</w:t>
      </w:r>
    </w:p>
    <w:p w14:paraId="2E6E764A" w14:textId="1A23F8D6" w:rsidR="00AB0790" w:rsidRDefault="00AB0790" w:rsidP="00AB0790">
      <w:pPr>
        <w:pStyle w:val="BodyText"/>
      </w:pPr>
      <w:r>
        <w:rPr>
          <w:b/>
          <w:bCs/>
        </w:rPr>
        <w:t>Regulatory Track Record:</w:t>
      </w:r>
      <w:r>
        <w:t xml:space="preserve"> - USFDA: Sanand site inspected January 2024 — 2 observations issued - Observation 1: Data integrity finding — audit trail for electronic batch records was not consistently maintained (21 CFR Part 11 related) - Observation 2: Inadequate investigation of OOS result for a commercial product (not FI-220 related) - Company Response: CAPA submitted within 30 days. Observation 1 remediation is ongoing — new electronic batch record system (SAP) implementation in progress, expected completion August 2026. - FDA has NOT issued a Warning Letter, but observations remain open (no EIR yet) - WHO GMP: Certified (2023) - No EDQM CEP, no PMDA approval, no EMA/MHRA inspection history - Total regulatory inspections: 3 (USFDA x1, WHO x1, State FDA x1)</w:t>
      </w:r>
    </w:p>
    <w:p w14:paraId="5EBCBA44" w14:textId="77777777" w:rsidR="00AB0790" w:rsidRDefault="00AB0790" w:rsidP="00AB0790">
      <w:pPr>
        <w:pStyle w:val="BodyText"/>
      </w:pPr>
      <w:r>
        <w:rPr>
          <w:b/>
          <w:bCs/>
        </w:rPr>
        <w:t>Capacity &amp; Supply:</w:t>
      </w:r>
      <w:r>
        <w:t xml:space="preserve"> - Current maximum capacity: ~15,000 Kg/year of FI-220 class intermediates - Can meet approximately 70% of </w:t>
      </w:r>
      <w:proofErr w:type="spellStart"/>
      <w:r>
        <w:t>SoGoodCure’s</w:t>
      </w:r>
      <w:proofErr w:type="spellEnd"/>
      <w:r>
        <w:t xml:space="preserve"> annual requirement at current capacity - Expansion project approved: Additional reactor block (3 x 3,000L reactors) — commissioning planned Q1 2027 - Post-expansion capacity: ~30,000 Kg/year - Standard lead time: 6 weeks (fastest among all three suppliers) - Willing to maintain 3-month buffer stock at own cost during qualification period</w:t>
      </w:r>
    </w:p>
    <w:p w14:paraId="0942A430" w14:textId="77777777" w:rsidR="00AB0790" w:rsidRDefault="00AB0790" w:rsidP="00AB0790">
      <w:pPr>
        <w:pStyle w:val="BodyText"/>
      </w:pPr>
      <w:r>
        <w:rPr>
          <w:b/>
          <w:bCs/>
        </w:rPr>
        <w:t>Pricing:</w:t>
      </w:r>
      <w:r>
        <w:t xml:space="preserve"> - Quoted price: US$157/Kg (15% below current supplier benchmark — lowest bid) - Payment terms: Net 30 days (requesting faster payment cycle) - Volume discount: Additional 5% for annual commitment &gt;18,000 Kg - Price validity: 6 months only (subject to raw material price revision) - Note: Price seems aggressive — margin sustainability questionable at this level</w:t>
      </w:r>
    </w:p>
    <w:p w14:paraId="5CA184FA" w14:textId="77777777" w:rsidR="00AB0790" w:rsidRDefault="00AB0790" w:rsidP="00AB0790">
      <w:pPr>
        <w:pStyle w:val="BodyText"/>
      </w:pPr>
      <w:r>
        <w:rPr>
          <w:b/>
          <w:bCs/>
        </w:rPr>
        <w:t>Financial Health:</w:t>
      </w:r>
      <w:r>
        <w:t xml:space="preserve"> - Revenue CAGR (3-year): 45% (rapid growth from small base) - EBITDA margin: 8% (below industry average; heavy investment phase) - Debt-to-equity: 1.8x (elevated — PE-funded expansion) - Cash runway: Approximately 18 months at current burn rate without additional funding - </w:t>
      </w:r>
      <w:proofErr w:type="spellStart"/>
      <w:r>
        <w:t>GreenField</w:t>
      </w:r>
      <w:proofErr w:type="spellEnd"/>
      <w:r>
        <w:t xml:space="preserve"> Ventures (PE investor) has indicated they are evaluating exit options (3-year hold period ending 2027) - Audited financials available for last 3 years only</w:t>
      </w:r>
    </w:p>
    <w:p w14:paraId="3B7745DC" w14:textId="77777777" w:rsidR="00AB0790" w:rsidRDefault="00AB0790" w:rsidP="00AB0790">
      <w:pPr>
        <w:pStyle w:val="BodyText"/>
      </w:pPr>
      <w:r>
        <w:rPr>
          <w:b/>
          <w:bCs/>
        </w:rPr>
        <w:t>Key Strengths:</w:t>
      </w:r>
      <w:r>
        <w:t xml:space="preserve"> - Fastest lead time (6 weeks) and lowest price — strong commercial proposition - Deep fluorination chemistry expertise — founders have specific FI-220 class </w:t>
      </w:r>
      <w:r>
        <w:lastRenderedPageBreak/>
        <w:t>experience - Modern facility purpose-built for GMP; agile and hungry for marquee customers - Willing to invest in buffer stock and dedicated capacity</w:t>
      </w:r>
    </w:p>
    <w:p w14:paraId="69BFD6FF" w14:textId="77777777" w:rsidR="00AB0790" w:rsidRDefault="00AB0790" w:rsidP="00AB0790">
      <w:pPr>
        <w:pStyle w:val="BodyText"/>
      </w:pPr>
      <w:r>
        <w:rPr>
          <w:b/>
          <w:bCs/>
        </w:rPr>
        <w:t>Key Risks / Concerns:</w:t>
      </w:r>
      <w:r>
        <w:t xml:space="preserve"> - </w:t>
      </w:r>
      <w:r>
        <w:rPr>
          <w:b/>
          <w:bCs/>
        </w:rPr>
        <w:t>Data integrity FDA observation is still open</w:t>
      </w:r>
      <w:r>
        <w:t xml:space="preserve"> — no EIR issued yet; this is a significant regulatory risk for a company supplying GMP intermediates - Financial fragility — low margins, high leverage, PE exit risk within 12–18 months - Cannot currently meet 100% of volume requirement; dependent on expansion completion (Q1 2027) - Limited regulatory inspection history (only 3 inspections total) - Young company with limited long-term operational track record - Aggressive pricing may not be sustainable — risk of price renegotiation post-lock-in - Short price validity (6 months only)</w:t>
      </w:r>
    </w:p>
    <w:p w14:paraId="7FA7D8D0" w14:textId="77777777" w:rsidR="00AB0790" w:rsidRDefault="00AB0790" w:rsidP="00AB0790">
      <w:pPr>
        <w:pStyle w:val="BodyText"/>
      </w:pPr>
      <w:r>
        <w:rPr>
          <w:b/>
          <w:bCs/>
        </w:rPr>
        <w:t>References Provided:</w:t>
      </w:r>
      <w:r>
        <w:t xml:space="preserve"> - Customer 1: Dr. Reddy’s Laboratories (India) — supplying custom intermediate since 2022 - Customer 2: Mylan (now </w:t>
      </w:r>
      <w:proofErr w:type="spellStart"/>
      <w:r>
        <w:t>Viatris</w:t>
      </w:r>
      <w:proofErr w:type="spellEnd"/>
      <w:r>
        <w:t>, US) — supplying fluorinated intermediate since 2023 - Contact details available upon request</w:t>
      </w:r>
    </w:p>
    <w:p w14:paraId="65359E25" w14:textId="77777777" w:rsidR="00AB0790" w:rsidRDefault="00000000" w:rsidP="00AB0790">
      <w:r>
        <w:pict w14:anchorId="3D32A810">
          <v:rect id="_x0000_i1025" style="width:0;height:1.5pt" o:hralign="center" o:hrstd="t" o:hr="t"/>
        </w:pict>
      </w:r>
    </w:p>
    <w:bookmarkEnd w:id="0"/>
    <w:p w14:paraId="574EE316" w14:textId="77777777" w:rsidR="00B11031" w:rsidRDefault="00B11031"/>
    <w:sectPr w:rsidR="00B11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90"/>
    <w:rsid w:val="00AB0790"/>
    <w:rsid w:val="00B11031"/>
    <w:rsid w:val="00F36439"/>
    <w:rsid w:val="00F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CCFB"/>
  <w15:chartTrackingRefBased/>
  <w15:docId w15:val="{9AC6944D-21A8-40A8-BA89-7931298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790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7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7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7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7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7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7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7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7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7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7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7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B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7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AB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79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AB0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790"/>
    <w:pPr>
      <w:spacing w:after="160" w:line="259" w:lineRule="auto"/>
      <w:ind w:left="720"/>
      <w:contextualSpacing/>
    </w:pPr>
    <w:rPr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AB0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7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79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AB0790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AB0790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AB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Mehul</dc:creator>
  <cp:keywords/>
  <dc:description/>
  <cp:lastModifiedBy>Mehul</cp:lastModifiedBy>
  <cp:revision>2</cp:revision>
  <dcterms:created xsi:type="dcterms:W3CDTF">2026-04-11T12:33:00Z</dcterms:created>
  <dcterms:modified xsi:type="dcterms:W3CDTF">2026-04-11T12:45:00Z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03ea5287-1020-4438-a300-a82a42f94541</vt:lpwstr>
  </property>
</Properties>
</file>