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F12D" w14:textId="77777777" w:rsidR="000D26FF" w:rsidRDefault="000D26FF" w:rsidP="000D26FF">
      <w:pPr>
        <w:pStyle w:val="Heading3"/>
      </w:pPr>
      <w:bookmarkStart w:id="0" w:name="X3334cf6167c5c0e814c93ee729d3133f0dc8ec1"/>
      <w:r>
        <w:t xml:space="preserve">SUPPLIER B: </w:t>
      </w:r>
      <w:proofErr w:type="spellStart"/>
      <w:r>
        <w:t>EuroSynth</w:t>
      </w:r>
      <w:proofErr w:type="spellEnd"/>
      <w:r>
        <w:t xml:space="preserve"> AG (Basel, Switzerland)</w:t>
      </w:r>
    </w:p>
    <w:p w14:paraId="4006F48F" w14:textId="77777777" w:rsidR="000D26FF" w:rsidRDefault="000D26FF" w:rsidP="000D26FF">
      <w:pPr>
        <w:pStyle w:val="FirstParagraph"/>
      </w:pPr>
      <w:r>
        <w:rPr>
          <w:b/>
          <w:bCs/>
        </w:rPr>
        <w:t>Company Overview:</w:t>
      </w:r>
      <w:r>
        <w:t xml:space="preserve"> - Founded: 1986 (40 years in operation) - Employees: ~2,200 across 3 manufacturing sites - Annual Revenue: ~US$450 million (FY2025) - Ownership: Publicly listed on SIX Swiss Exchange (Market cap ~US$1.2 billion) - Headquarters: Basel, Switzerland - Manufacturing Sites: Site 1 — </w:t>
      </w:r>
      <w:proofErr w:type="spellStart"/>
      <w:r>
        <w:t>Muttenz</w:t>
      </w:r>
      <w:proofErr w:type="spellEnd"/>
      <w:r>
        <w:t>, Switzerland (API); Site 2 — Frankfurt, Germany (intermediates &amp; custom synthesis); Site 3 — Pune, India (intermediates, commissioned 2021)</w:t>
      </w:r>
    </w:p>
    <w:p w14:paraId="65E0E80A" w14:textId="77777777" w:rsidR="000D26FF" w:rsidRDefault="000D26FF" w:rsidP="000D26FF">
      <w:pPr>
        <w:pStyle w:val="BodyText"/>
      </w:pPr>
      <w:r>
        <w:rPr>
          <w:b/>
          <w:bCs/>
        </w:rPr>
        <w:t>Relevant Capabilities:</w:t>
      </w:r>
      <w:r>
        <w:t xml:space="preserve"> - 40 years of API and intermediate manufacturing experience across broad chemistry portfolio - Expertise in custom synthesis, peptides, high-potency APIs, and controlled substances - Limited fluorinated chemistry experience — only 1 commercial fluorinated intermediate (launched 2023 at Pune site) - Fluorination at Pune site uses DAST-based methodology (not HF) — may require process adaptation for FI-220 - Strong analytical and process development capabilities; 120+ R&amp;D scientists globally - ISO 14001 and ISO 45001 certified across all sites</w:t>
      </w:r>
    </w:p>
    <w:p w14:paraId="0032BC86" w14:textId="77777777" w:rsidR="000D26FF" w:rsidRDefault="000D26FF" w:rsidP="000D26FF">
      <w:pPr>
        <w:pStyle w:val="BodyText"/>
      </w:pPr>
      <w:r>
        <w:rPr>
          <w:b/>
          <w:bCs/>
        </w:rPr>
        <w:t>Regulatory Track Record:</w:t>
      </w:r>
      <w:r>
        <w:t xml:space="preserve"> - USFDA: </w:t>
      </w:r>
      <w:proofErr w:type="spellStart"/>
      <w:r>
        <w:t>Muttenz</w:t>
      </w:r>
      <w:proofErr w:type="spellEnd"/>
      <w:r>
        <w:t xml:space="preserve"> site — inspected 8 times since 2015, zero observations across all inspections - EMA: GMP certified, last inspection March 2025 — compliant - MHRA: Approved and inspected (zero observations) - TGA (Australia): Approved - PMDA (Japan): Approved - Pune site: USFDA inspected September 2024 — zero observations (first inspection) - Total regulatory inspections cleared: 22 (since 2015) - OAIs: Zero </w:t>
      </w:r>
      <w:proofErr w:type="gramStart"/>
      <w:r>
        <w:t>ever</w:t>
      </w:r>
      <w:proofErr w:type="gramEnd"/>
    </w:p>
    <w:p w14:paraId="357721F1" w14:textId="77777777" w:rsidR="000D26FF" w:rsidRDefault="000D26FF" w:rsidP="000D26FF">
      <w:pPr>
        <w:pStyle w:val="BodyText"/>
      </w:pPr>
      <w:r>
        <w:rPr>
          <w:b/>
          <w:bCs/>
        </w:rPr>
        <w:t>Capacity &amp; Supply:</w:t>
      </w:r>
      <w:r>
        <w:t xml:space="preserve"> - Would manufacture FI-220 at Pune site (leveraging India cost base) - Current available capacity: 35,000 Kg/year at Pune site; however, fluorination block is shared with other products - Realistic allocation for </w:t>
      </w:r>
      <w:proofErr w:type="spellStart"/>
      <w:r>
        <w:t>SoGoodCure</w:t>
      </w:r>
      <w:proofErr w:type="spellEnd"/>
      <w:r>
        <w:t>: Can meet up to 150% of annual requirement - Tech transfer period: 4–5 months required to adapt their DAST process to FI-220 specifications - Standard lead time: 12 weeks (includes India manufacturing + potential Europe-based quality release) - Willing to discuss consignment stock arrangement post-qualification</w:t>
      </w:r>
    </w:p>
    <w:p w14:paraId="365DFC69" w14:textId="77777777" w:rsidR="000D26FF" w:rsidRDefault="000D26FF" w:rsidP="000D26FF">
      <w:pPr>
        <w:pStyle w:val="BodyText"/>
      </w:pPr>
      <w:r>
        <w:rPr>
          <w:b/>
          <w:bCs/>
        </w:rPr>
        <w:t>Pricing:</w:t>
      </w:r>
      <w:r>
        <w:t xml:space="preserve"> - Quoted price: US$226/Kg (22% premium over current supplier benchmark) - Premium justified by: Swiss quality systems applied to India manufacturing, dual-site quality oversight, and comprehensive regulatory dossier support - Payment terms: Net 45 days - No volume discounts offered at this stage - Price validity: 18 months from agreement</w:t>
      </w:r>
    </w:p>
    <w:p w14:paraId="4EA9128C" w14:textId="77777777" w:rsidR="000D26FF" w:rsidRDefault="000D26FF" w:rsidP="000D26FF">
      <w:pPr>
        <w:pStyle w:val="BodyText"/>
      </w:pPr>
      <w:r>
        <w:rPr>
          <w:b/>
          <w:bCs/>
        </w:rPr>
        <w:t>Financial Health:</w:t>
      </w:r>
      <w:r>
        <w:t xml:space="preserve"> - Revenue CAGR (3-year): 7% - EBITDA margin: 19% - Debt-to-equity: 0.2x (very conservative) - Publicly listed — full financial transparency - Investment-grade credit rating (Moody’s Baa1) - No financial </w:t>
      </w:r>
      <w:proofErr w:type="gramStart"/>
      <w:r>
        <w:t>concerns</w:t>
      </w:r>
      <w:proofErr w:type="gramEnd"/>
    </w:p>
    <w:p w14:paraId="47396CDC" w14:textId="77777777" w:rsidR="000D26FF" w:rsidRDefault="000D26FF" w:rsidP="000D26FF">
      <w:pPr>
        <w:pStyle w:val="BodyText"/>
      </w:pPr>
      <w:r>
        <w:rPr>
          <w:b/>
          <w:bCs/>
        </w:rPr>
        <w:t>Key Strengths:</w:t>
      </w:r>
      <w:r>
        <w:t xml:space="preserve"> - Gold-standard quality and regulatory pedigree — zero observations across 22 inspections - Supply chain diversification — non-India-only option (Swiss parent oversight) - Publicly listed — maximum financial transparency and stability - Comprehensive DMF and regulatory dossier support capabilities - Long-term partnership orientation (average customer relationship: 12 years)</w:t>
      </w:r>
    </w:p>
    <w:p w14:paraId="01121243" w14:textId="77777777" w:rsidR="000D26FF" w:rsidRDefault="000D26FF" w:rsidP="000D26FF">
      <w:pPr>
        <w:pStyle w:val="BodyText"/>
      </w:pPr>
      <w:r>
        <w:rPr>
          <w:b/>
          <w:bCs/>
        </w:rPr>
        <w:t>Key Risks / Concerns:</w:t>
      </w:r>
      <w:r>
        <w:t xml:space="preserve"> - Limited fluorinated chemistry experience — only 1 product, launched recently - Would need tech transfer / process adaptation period (4–5 months) — </w:t>
      </w:r>
      <w:r>
        <w:lastRenderedPageBreak/>
        <w:t xml:space="preserve">may impact 9-month qualification timeline - Significant price premium (22% above benchmark) — may not pass procurement approval - 12-week lead time vs. 8 weeks from India-based alternatives - Pune site is relatively new (commissioned 2021) — limited operational </w:t>
      </w:r>
      <w:proofErr w:type="gramStart"/>
      <w:r>
        <w:t>history</w:t>
      </w:r>
      <w:proofErr w:type="gramEnd"/>
    </w:p>
    <w:p w14:paraId="2D533BC1" w14:textId="77777777" w:rsidR="000D26FF" w:rsidRDefault="000D26FF" w:rsidP="000D26FF">
      <w:pPr>
        <w:pStyle w:val="BodyText"/>
      </w:pPr>
      <w:r>
        <w:rPr>
          <w:b/>
          <w:bCs/>
        </w:rPr>
        <w:t>References Provided:</w:t>
      </w:r>
      <w:r>
        <w:t xml:space="preserve"> - Customer 1: Novartis (Switzerland) — API supply relationship since 2005 - Customer 2: AstraZeneca (UK) — custom synthesis since 2018 - Contact details available upon </w:t>
      </w:r>
      <w:proofErr w:type="gramStart"/>
      <w:r>
        <w:t>request</w:t>
      </w:r>
      <w:proofErr w:type="gramEnd"/>
    </w:p>
    <w:p w14:paraId="6D28236B" w14:textId="77777777" w:rsidR="000D26FF" w:rsidRDefault="000D26FF" w:rsidP="000D26FF">
      <w:r>
        <w:pict w14:anchorId="3B035B36">
          <v:rect id="_x0000_i1025" style="width:0;height:1.5pt" o:hralign="center" o:hrstd="t" o:hr="t"/>
        </w:pict>
      </w:r>
    </w:p>
    <w:bookmarkEnd w:id="0"/>
    <w:p w14:paraId="4870AB47" w14:textId="77777777" w:rsidR="00B11031" w:rsidRDefault="00B11031"/>
    <w:sectPr w:rsidR="00B110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FF"/>
    <w:rsid w:val="000D26FF"/>
    <w:rsid w:val="00B11031"/>
    <w:rsid w:val="00F3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BF27"/>
  <w15:chartTrackingRefBased/>
  <w15:docId w15:val="{5543EC37-0CAB-4D4A-94A8-0AAD6A60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FF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6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6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6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6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6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6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6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6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6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6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6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6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0D2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6F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0D2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6F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0D2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6FF"/>
    <w:pPr>
      <w:spacing w:after="160" w:line="259" w:lineRule="auto"/>
      <w:ind w:left="720"/>
      <w:contextualSpacing/>
    </w:pPr>
    <w:rPr>
      <w:sz w:val="22"/>
      <w:szCs w:val="22"/>
      <w:lang w:val="en-IN"/>
    </w:rPr>
  </w:style>
  <w:style w:type="character" w:styleId="IntenseEmphasis">
    <w:name w:val="Intense Emphasis"/>
    <w:basedOn w:val="DefaultParagraphFont"/>
    <w:uiPriority w:val="21"/>
    <w:qFormat/>
    <w:rsid w:val="000D26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6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6F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D26FF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0D26FF"/>
    <w:rPr>
      <w:sz w:val="24"/>
      <w:szCs w:val="24"/>
      <w:lang w:val="en-US"/>
    </w:rPr>
  </w:style>
  <w:style w:type="paragraph" w:customStyle="1" w:styleId="FirstParagraph">
    <w:name w:val="First Paragraph"/>
    <w:basedOn w:val="BodyText"/>
    <w:next w:val="BodyText"/>
    <w:qFormat/>
    <w:rsid w:val="000D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Mehul</dc:creator>
  <cp:keywords/>
  <dc:description/>
  <cp:lastModifiedBy>Mehul</cp:lastModifiedBy>
  <cp:revision>1</cp:revision>
  <dcterms:created xsi:type="dcterms:W3CDTF">2026-04-11T12:32:00Z</dcterms:created>
  <dcterms:modified xsi:type="dcterms:W3CDTF">2026-04-11T12:33:00Z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1ded72de-6ee5-4aa9-8260-7352e4dddb9b</vt:lpwstr>
  </property>
</Properties>
</file>