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8C2B6" w14:textId="2D956DA1" w:rsidR="005728F0" w:rsidRDefault="005728F0" w:rsidP="005728F0">
      <w:pPr>
        <w:pStyle w:val="Heading3"/>
      </w:pPr>
      <w:bookmarkStart w:id="0" w:name="X006dd3732faf4934247d0ae2e3291c1f4758869"/>
      <w:r>
        <w:t xml:space="preserve">SUPPLIER A: </w:t>
      </w:r>
      <w:r w:rsidR="00AF760C">
        <w:t xml:space="preserve"> ABC </w:t>
      </w:r>
      <w:r>
        <w:t>Star Labs Private Limited (Hyderabad, India)</w:t>
      </w:r>
    </w:p>
    <w:p w14:paraId="3912880D" w14:textId="77777777" w:rsidR="005728F0" w:rsidRDefault="005728F0" w:rsidP="005728F0">
      <w:pPr>
        <w:pStyle w:val="FirstParagraph"/>
      </w:pPr>
      <w:r>
        <w:rPr>
          <w:b/>
          <w:bCs/>
        </w:rPr>
        <w:t>Company Overview:</w:t>
      </w:r>
      <w:r>
        <w:t xml:space="preserve"> - Founded: 2011 (15 years in operation) - Employees: ~800 across 2 manufacturing sites + 1 R&amp;D </w:t>
      </w:r>
      <w:proofErr w:type="spellStart"/>
      <w:r>
        <w:t>centre</w:t>
      </w:r>
      <w:proofErr w:type="spellEnd"/>
      <w:r>
        <w:t xml:space="preserve"> - Annual Revenue: ~US$120 million (FY2025) - Ownership: Promoter-held (65%), private equity investor (35%) - Headquarters: Hyderabad, Telangana, India - Manufacturing Sites: Site 1 — Genome Valley, Hyderabad (API &amp; intermediates); Site 2 — Visakhapatnam (bulk intermediates)</w:t>
      </w:r>
    </w:p>
    <w:p w14:paraId="16FA1C96" w14:textId="77777777" w:rsidR="005728F0" w:rsidRDefault="005728F0" w:rsidP="005728F0">
      <w:pPr>
        <w:pStyle w:val="BodyText"/>
      </w:pPr>
      <w:r>
        <w:rPr>
          <w:b/>
          <w:bCs/>
        </w:rPr>
        <w:t>Relevant Capabilities:</w:t>
      </w:r>
      <w:r>
        <w:t xml:space="preserve"> - 6 years of commercial experience in fluorinated intermediates and halogenated chemistry - 3 commercial fluorinated API intermediates currently supplied to regulated markets (US, EU, Japan) - Dedicated fluorination block with HF handling capability (Genome Valley site) - In-house analytical lab with GC-MS, HPLC, ICP-MS, and Karl Fischer capabilities - R&amp;D team of 85 scientists; average experience 8 </w:t>
      </w:r>
      <w:proofErr w:type="gramStart"/>
      <w:r>
        <w:t>years</w:t>
      </w:r>
      <w:proofErr w:type="gramEnd"/>
    </w:p>
    <w:p w14:paraId="1427735F" w14:textId="77777777" w:rsidR="005728F0" w:rsidRDefault="005728F0" w:rsidP="005728F0">
      <w:pPr>
        <w:pStyle w:val="BodyText"/>
      </w:pPr>
      <w:r>
        <w:rPr>
          <w:b/>
          <w:bCs/>
        </w:rPr>
        <w:t>Regulatory Track Record:</w:t>
      </w:r>
      <w:r>
        <w:t xml:space="preserve"> - USFDA: Genome Valley site inspected May 2024 — EIR issued (1 observation, resolved and closed within 60 days; observation related to equipment cleaning validation documentation) - USFDA: Visakhapatnam site inspected November 2023 — Zero observations - EDQM: CEP holder for 2 API intermediates - PMDA (Japan): Successfully inspected 2022 - Total regulatory inspections cleared: 12 (since 2018) - OAIs: Zero</w:t>
      </w:r>
    </w:p>
    <w:p w14:paraId="4881C4ED" w14:textId="77777777" w:rsidR="005728F0" w:rsidRDefault="005728F0" w:rsidP="005728F0">
      <w:pPr>
        <w:pStyle w:val="BodyText"/>
      </w:pPr>
      <w:r>
        <w:rPr>
          <w:b/>
          <w:bCs/>
        </w:rPr>
        <w:t>Capacity &amp; Supply:</w:t>
      </w:r>
      <w:r>
        <w:t xml:space="preserve"> - Current available capacity: Can produce 25,000 Kg/year of FI-220 class intermediates - Dedicated reactor block available (2 x 5,000L glass-lined reactors) - Can meet 100% of </w:t>
      </w:r>
      <w:proofErr w:type="spellStart"/>
      <w:r>
        <w:t>SoGoodCure’s</w:t>
      </w:r>
      <w:proofErr w:type="spellEnd"/>
      <w:r>
        <w:t xml:space="preserve"> annual requirement - Standard lead time: 8 weeks from confirmed PO - Safety stock: Willing to maintain 2-month buffer </w:t>
      </w:r>
      <w:proofErr w:type="gramStart"/>
      <w:r>
        <w:t>inventory</w:t>
      </w:r>
      <w:proofErr w:type="gramEnd"/>
    </w:p>
    <w:p w14:paraId="356C8187" w14:textId="77777777" w:rsidR="005728F0" w:rsidRDefault="005728F0" w:rsidP="005728F0">
      <w:pPr>
        <w:pStyle w:val="BodyText"/>
      </w:pPr>
      <w:r>
        <w:rPr>
          <w:b/>
          <w:bCs/>
        </w:rPr>
        <w:t>Pricing:</w:t>
      </w:r>
      <w:r>
        <w:t xml:space="preserve"> - Quoted price: US$170/Kg (8% below current supplier benchmark) - Payment terms: Net 60 days - Volume discount: Additional 3% for annual commitment &gt;20,000 Kg - Price validity: 12 months from date of agreement</w:t>
      </w:r>
    </w:p>
    <w:p w14:paraId="1EB1F22F" w14:textId="77777777" w:rsidR="005728F0" w:rsidRDefault="005728F0" w:rsidP="005728F0">
      <w:pPr>
        <w:pStyle w:val="BodyText"/>
      </w:pPr>
      <w:r>
        <w:rPr>
          <w:b/>
          <w:bCs/>
        </w:rPr>
        <w:t>Financial Health:</w:t>
      </w:r>
      <w:r>
        <w:t xml:space="preserve"> - Revenue CAGR (3-year): 18% - EBITDA margin: 22% - Debt-to-equity: 0.4x - PE investor (Meridian Capital) has been invested since 2019; no near-term exit planned - Audited financials available for last 5 </w:t>
      </w:r>
      <w:proofErr w:type="gramStart"/>
      <w:r>
        <w:t>years</w:t>
      </w:r>
      <w:proofErr w:type="gramEnd"/>
    </w:p>
    <w:p w14:paraId="2BA4BC42" w14:textId="77777777" w:rsidR="005728F0" w:rsidRDefault="005728F0" w:rsidP="005728F0">
      <w:pPr>
        <w:pStyle w:val="BodyText"/>
      </w:pPr>
      <w:r>
        <w:rPr>
          <w:b/>
          <w:bCs/>
        </w:rPr>
        <w:t>Key Strengths:</w:t>
      </w:r>
      <w:r>
        <w:t xml:space="preserve"> - Best technical fit — proven fluorination capability with commercial track record - Competitive pricing with volume incentive - Proximity to </w:t>
      </w:r>
      <w:proofErr w:type="spellStart"/>
      <w:r>
        <w:t>SoGoodCure’s</w:t>
      </w:r>
      <w:proofErr w:type="spellEnd"/>
      <w:r>
        <w:t xml:space="preserve"> Indian manufacturing sites (logistics advantage) - Strong regulatory track record with no OAIs</w:t>
      </w:r>
    </w:p>
    <w:p w14:paraId="69D6F8E1" w14:textId="77777777" w:rsidR="005728F0" w:rsidRDefault="005728F0" w:rsidP="005728F0">
      <w:pPr>
        <w:pStyle w:val="BodyText"/>
      </w:pPr>
      <w:r>
        <w:rPr>
          <w:b/>
          <w:bCs/>
        </w:rPr>
        <w:t>Key Risks / Concerns:</w:t>
      </w:r>
      <w:r>
        <w:t xml:space="preserve"> - CEO/Founder (Dr. Rajesh Sharma) announced retirement effective December 2026; successor (current COO, Mr. Vikram Patel) has been in role for only 14 months - PE investor holds 35% — potential for strategic changes if PE exits - Genome Valley site had 1 FDA observation in 2024 (resolved, but recent)</w:t>
      </w:r>
    </w:p>
    <w:p w14:paraId="7716C5D2" w14:textId="77777777" w:rsidR="005728F0" w:rsidRDefault="005728F0" w:rsidP="005728F0">
      <w:pPr>
        <w:pStyle w:val="BodyText"/>
      </w:pPr>
      <w:r>
        <w:rPr>
          <w:b/>
          <w:bCs/>
        </w:rPr>
        <w:t>References Provided:</w:t>
      </w:r>
      <w:r>
        <w:t xml:space="preserve"> - Customer 1: Teva Pharmaceutical (Israel) — supplying fluorinated intermediate since 2020 - Customer 2: Sandoz (Germany) — supplying custom intermediate since 2022 - Contact details available upon </w:t>
      </w:r>
      <w:proofErr w:type="gramStart"/>
      <w:r>
        <w:t>request</w:t>
      </w:r>
      <w:proofErr w:type="gramEnd"/>
    </w:p>
    <w:p w14:paraId="3FB013AF" w14:textId="77777777" w:rsidR="005728F0" w:rsidRDefault="00000000" w:rsidP="005728F0">
      <w:r>
        <w:pict w14:anchorId="51410710">
          <v:rect id="_x0000_i1025" style="width:0;height:1.5pt" o:hralign="center" o:hrstd="t" o:hr="t"/>
        </w:pict>
      </w:r>
    </w:p>
    <w:bookmarkEnd w:id="0"/>
    <w:p w14:paraId="1235503A" w14:textId="77777777" w:rsidR="00B11031" w:rsidRDefault="00B11031"/>
    <w:sectPr w:rsidR="00B11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F0"/>
    <w:rsid w:val="005728F0"/>
    <w:rsid w:val="00AF760C"/>
    <w:rsid w:val="00B11031"/>
    <w:rsid w:val="00F3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DF1E"/>
  <w15:chartTrackingRefBased/>
  <w15:docId w15:val="{868E08D5-48F4-4152-B75F-8D545E58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F0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8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8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8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8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8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8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8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8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8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8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8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572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8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572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8F0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572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8F0"/>
    <w:pPr>
      <w:spacing w:after="160" w:line="259" w:lineRule="auto"/>
      <w:ind w:left="720"/>
      <w:contextualSpacing/>
    </w:pPr>
    <w:rPr>
      <w:sz w:val="22"/>
      <w:szCs w:val="22"/>
      <w:lang w:val="en-IN"/>
    </w:rPr>
  </w:style>
  <w:style w:type="character" w:styleId="IntenseEmphasis">
    <w:name w:val="Intense Emphasis"/>
    <w:basedOn w:val="DefaultParagraphFont"/>
    <w:uiPriority w:val="21"/>
    <w:qFormat/>
    <w:rsid w:val="005728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8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8F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5728F0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5728F0"/>
    <w:rPr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57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Mehul</dc:creator>
  <cp:keywords/>
  <dc:description/>
  <cp:lastModifiedBy>Mehul</cp:lastModifiedBy>
  <cp:revision>2</cp:revision>
  <dcterms:created xsi:type="dcterms:W3CDTF">2026-04-11T12:30:00Z</dcterms:created>
  <dcterms:modified xsi:type="dcterms:W3CDTF">2026-04-11T12:45:00Z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9b29c47c-a96a-4837-aa06-5688f3cc0f17</vt:lpwstr>
  </property>
</Properties>
</file>